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027B0D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027B0D">
        <w:rPr>
          <w:rFonts w:ascii="Calibri" w:eastAsia="Times New Roman" w:hAnsi="Calibri" w:cs="Times New Roman"/>
          <w:b/>
          <w:bCs/>
        </w:rPr>
        <w:t>Utarbeidet av</w:t>
      </w:r>
      <w:r w:rsidRPr="00027B0D">
        <w:rPr>
          <w:rFonts w:ascii="Calibri" w:eastAsia="Times New Roman" w:hAnsi="Calibri" w:cs="Times New Roman"/>
          <w:bCs/>
        </w:rPr>
        <w:t xml:space="preserve">: </w:t>
      </w:r>
      <w:r w:rsidR="00466E19" w:rsidRPr="00027B0D">
        <w:rPr>
          <w:rFonts w:ascii="Calibri" w:eastAsia="Times New Roman" w:hAnsi="Calibri" w:cs="Times New Roman"/>
        </w:rPr>
        <w:t>OUS</w:t>
      </w:r>
      <w:r w:rsidR="00771810" w:rsidRPr="00027B0D">
        <w:rPr>
          <w:rFonts w:ascii="Calibri" w:eastAsia="Times New Roman" w:hAnsi="Calibri" w:cs="Times New Roman"/>
        </w:rPr>
        <w:t xml:space="preserve"> HF, </w:t>
      </w:r>
      <w:r w:rsidR="00466E19" w:rsidRPr="00027B0D">
        <w:rPr>
          <w:rFonts w:ascii="Calibri" w:eastAsia="Times New Roman" w:hAnsi="Calibri" w:cs="Times New Roman"/>
        </w:rPr>
        <w:t>HN</w:t>
      </w:r>
      <w:r w:rsidR="00771810" w:rsidRPr="00027B0D">
        <w:rPr>
          <w:rFonts w:ascii="Calibri" w:eastAsia="Times New Roman" w:hAnsi="Calibri" w:cs="Times New Roman"/>
        </w:rPr>
        <w:t xml:space="preserve"> RHF, HSØ RHF</w:t>
      </w:r>
    </w:p>
    <w:p w:rsidR="00027B0D" w:rsidRPr="00027B0D" w:rsidRDefault="00027B0D" w:rsidP="00466E19">
      <w:pPr>
        <w:spacing w:after="120" w:line="240" w:lineRule="auto"/>
        <w:rPr>
          <w:rFonts w:ascii="Calibri" w:eastAsia="Times New Roman" w:hAnsi="Calibri" w:cs="Times New Roman"/>
        </w:rPr>
      </w:pPr>
      <w:r w:rsidRPr="00027B0D">
        <w:rPr>
          <w:rFonts w:ascii="Calibri" w:eastAsia="Times New Roman" w:hAnsi="Calibri" w:cs="Times New Roman"/>
          <w:b/>
        </w:rPr>
        <w:t xml:space="preserve">Plan ID: </w:t>
      </w:r>
      <w:r>
        <w:rPr>
          <w:rFonts w:ascii="Calibri" w:eastAsia="Times New Roman" w:hAnsi="Calibri" w:cs="Times New Roman"/>
        </w:rPr>
        <w:t>1030</w:t>
      </w:r>
      <w:r w:rsidRPr="00027B0D">
        <w:rPr>
          <w:rFonts w:ascii="Calibri" w:eastAsia="Times New Roman" w:hAnsi="Calibri" w:cs="Times New Roman"/>
        </w:rPr>
        <w:tab/>
      </w:r>
      <w:r w:rsidRPr="00027B0D">
        <w:rPr>
          <w:rFonts w:ascii="Calibri" w:eastAsia="Times New Roman" w:hAnsi="Calibri" w:cs="Times New Roman"/>
          <w:b/>
        </w:rPr>
        <w:t xml:space="preserve">Versjon: </w:t>
      </w:r>
      <w:r>
        <w:rPr>
          <w:rFonts w:ascii="Calibri" w:eastAsia="Times New Roman" w:hAnsi="Calibri" w:cs="Times New Roman"/>
        </w:rPr>
        <w:t>1.0</w:t>
      </w:r>
    </w:p>
    <w:p w:rsidR="00230014" w:rsidRPr="00027B0D" w:rsidRDefault="0041537A" w:rsidP="00466E19">
      <w:pPr>
        <w:spacing w:after="120" w:line="240" w:lineRule="auto"/>
        <w:rPr>
          <w:rFonts w:ascii="Calibri" w:eastAsia="Times New Roman" w:hAnsi="Calibri" w:cs="Times New Roman"/>
        </w:rPr>
      </w:pPr>
      <w:r w:rsidRPr="00027B0D">
        <w:rPr>
          <w:rFonts w:ascii="Calibri" w:eastAsia="Times New Roman" w:hAnsi="Calibri" w:cs="Times New Roman"/>
          <w:b/>
          <w:bCs/>
        </w:rPr>
        <w:t>Revideres innen dato</w:t>
      </w:r>
      <w:r w:rsidRPr="00027B0D">
        <w:rPr>
          <w:rFonts w:ascii="Calibri" w:eastAsia="Times New Roman" w:hAnsi="Calibri" w:cs="Times New Roman"/>
          <w:bCs/>
        </w:rPr>
        <w:t xml:space="preserve">: </w:t>
      </w:r>
      <w:r w:rsidR="00771810" w:rsidRPr="00027B0D">
        <w:rPr>
          <w:rFonts w:ascii="Calibri" w:eastAsia="Times New Roman" w:hAnsi="Calibri" w:cs="Times New Roman"/>
          <w:bCs/>
        </w:rPr>
        <w:t>03.04.</w:t>
      </w:r>
      <w:r w:rsidR="00466E19" w:rsidRPr="00027B0D">
        <w:rPr>
          <w:rFonts w:ascii="Calibri" w:eastAsia="Times New Roman" w:hAnsi="Calibri" w:cs="Times New Roman"/>
        </w:rPr>
        <w:t>2021</w:t>
      </w:r>
    </w:p>
    <w:p w:rsidR="00AA4E93" w:rsidRPr="00466E19" w:rsidRDefault="00AA4E93" w:rsidP="00466E19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230014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B314EE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230014">
        <w:tc>
          <w:tcPr>
            <w:tcW w:w="231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B314EE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1"/>
        <w:gridCol w:w="1897"/>
        <w:gridCol w:w="949"/>
        <w:gridCol w:w="1867"/>
        <w:gridCol w:w="950"/>
        <w:gridCol w:w="2032"/>
        <w:gridCol w:w="946"/>
      </w:tblGrid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ICNP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ICNP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41537A" w:rsidRPr="00B314EE" w:rsidRDefault="0041537A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ICNP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Risiko for blødning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10017268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Ingen blødning 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10028806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vitale tegn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10032113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vevsgjennomblødning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10028593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Identifisere risiko for blødning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(1,7,8)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10009696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Redusert minuttvolum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10025557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sirkulasjon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10028380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sirkulasjon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10050193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hud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10041126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avføring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10050172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oppkast/brekninger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10046329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blødning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(2,8,10)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10050690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blodverdier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(1,4,5,11,13)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10046270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Venepunksjon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(1,2,11)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10016168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intravenøstilgang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10036577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7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innleggelse av perifert venekateter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perifert venekateter (PVK)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perifert venekateter (PVK)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perifert venekateter (PVK)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Håndtering av sentralt venekater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10031724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1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Stell av innstikkstedet ved sentralt venekateter (SVK) 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Skylling av sentralt venekateter (SVK) 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ikke-tunnelert sentralt venekateter (SVK</w:t>
              </w:r>
            </w:hyperlink>
            <w:r w:rsidR="00B314EE"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perifert innlagt sentralt venekateter (PICC-line)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Stell av innstikkstedet ved </w:t>
              </w:r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lastRenderedPageBreak/>
                <w:t>perifert innlagt sentralt venekateter (PICC-line)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perifert innlagt sentralt venekateter (PICC- line</w:t>
              </w:r>
            </w:hyperlink>
            <w:r w:rsidR="00B314EE"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blodtransfusjon</w:t>
            </w:r>
          </w:p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(2,12,13)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10039311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Klargjøring og tilkobling av erytrocyttkonsentrat og gjennomføring av transfusjon</w:t>
              </w:r>
            </w:hyperlink>
            <w:r w:rsidR="00B314EE"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Klargjøring og tilkobling av trombocyttkonsentrat og gjennomføring av transfusjon 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474E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9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Klargjøring og tilkobling av ferskfrosset virusinaktivert plasma og gjennomføring av transfusjon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Default="00B314EE" w:rsidP="00B314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Redusert gassutveksling 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10001177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respirasjonsmønster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10041334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respiratorisk status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10012196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10036646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Oppmuntre til puste-eller hosteteknikk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10006834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Oksygenbehandling 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(1,2)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10039369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1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Risiko for aspirasjon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10015024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Ingen aspirasjon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10028783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Forebygge aspirasjon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10051810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Suging i nesesvelg og munnsvelg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Leire pasient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10014761</w:t>
            </w: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Pr="00B314EE" w:rsidRDefault="005B5433" w:rsidP="00B314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B314EE" w:rsidRPr="00B314E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Leiring i seng: Høyt ryggleie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314EE" w:rsidRDefault="00B314EE" w:rsidP="00B314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14EE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Risiko for underskudd av væskevolum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10042049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Væskebalanse innenfor normalområdet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væskebalanse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314EE" w:rsidRPr="00B314EE" w:rsidRDefault="00B314EE" w:rsidP="00B314E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risiko for dehydrering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10040932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Forstyrrelse i væskebalanse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10042335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Væskebalanse innenfor normalområdet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væskebalanse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væskeinntak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10039245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væskeproduksjon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10039250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væskebehandling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(2,11,12)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10039330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Problem med vannlatning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10021790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funksjon i urinveier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10028615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urin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10050164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767171" w:themeColor="background2" w:themeShade="8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vannlating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10047245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tilfredsstillende vannlatning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10036729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Risiko for infeksjon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15133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infeksjon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10028945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infeksjonsmottakelighet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10002821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Kroppstemperatur innenfor normalområdet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10027652</w:t>
            </w:r>
          </w:p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tegn 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g symptomer på infeksjon </w:t>
            </w: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(9,10)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0012203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kroppstemperatur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10032006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Forebygge infeksjon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036916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Engstelig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10000477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Redusert redsel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10027889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angst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10031711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474E0C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B314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Angst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iko for svekket ernæringsinntak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10023013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Positiv ernæringsstatus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10025002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ernæring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10036032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5B5433" w:rsidP="00B25B1B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hyperlink r:id="rId24" w:history="1">
              <w:r w:rsidR="00B25B1B" w:rsidRPr="00B25B1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ernæringsstatus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10030660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kostholdsregime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10023861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Iverksette 0 per os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314E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10044793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Kvalme 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10000859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kvalme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10028984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kvalme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10043673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Kvalme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Akutt smerter 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10000454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smerte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10029008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Smertebehandling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(2,11,13)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10011660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NVP: Smerte - akutt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314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Manglende kunnskap om sykdom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10021994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Adekvat kunnskap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10027112</w:t>
            </w: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om sykdom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10024116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center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om behandlingsregime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10024625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center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helsefremmende atferd </w:t>
            </w: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(1,4,10,13)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5B1B">
              <w:rPr>
                <w:rFonts w:ascii="Calibri" w:hAnsi="Calibri" w:cs="Calibri"/>
                <w:color w:val="000000"/>
                <w:sz w:val="18"/>
                <w:szCs w:val="18"/>
              </w:rPr>
              <w:t>10032956</w:t>
            </w:r>
          </w:p>
        </w:tc>
      </w:tr>
      <w:tr w:rsidR="00B25B1B" w:rsidRPr="00B314EE" w:rsidTr="00B25B1B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47" w:type="pct"/>
            <w:shd w:val="clear" w:color="auto" w:fill="F2F2F2" w:themeFill="background1" w:themeFillShade="F2"/>
            <w:vAlign w:val="bottom"/>
          </w:tcPr>
          <w:p w:rsidR="00B25B1B" w:rsidRPr="00B314EE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F2F2F2" w:themeFill="background1" w:themeFillShade="F2"/>
            <w:vAlign w:val="bottom"/>
          </w:tcPr>
          <w:p w:rsidR="00B25B1B" w:rsidRPr="00B25B1B" w:rsidRDefault="00B25B1B" w:rsidP="00B25B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B25B1B" w:rsidRDefault="00B25B1B" w:rsidP="00B25B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DC1A3B" w:rsidRPr="00DC1A3B" w:rsidRDefault="00DC1A3B" w:rsidP="00DC1A3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Saltzman, Feldman, Travis. Approach to acute upper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25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http://www.uptodate.com/contents/2548</w:t>
        </w:r>
      </w:hyperlink>
    </w:p>
    <w:p w:rsidR="00DC1A3B" w:rsidRPr="00DC1A3B" w:rsidRDefault="00DC1A3B" w:rsidP="00DC1A3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Strate, L. Approach to acute lower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26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http://www.uptodate.com/contents/2547</w:t>
        </w:r>
      </w:hyperlink>
    </w:p>
    <w:p w:rsidR="00DC1A3B" w:rsidRPr="00DC1A3B" w:rsidRDefault="00DC1A3B" w:rsidP="00DC1A3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Saltzman, J. R. Overview of the treatment of bleeding peptic ulcers (2016)</w:t>
      </w:r>
      <w:r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 xml:space="preserve">Tilgjengelig fra: </w:t>
      </w:r>
      <w:hyperlink r:id="rId27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http://www.uptodate.com/contents/2573</w:t>
        </w:r>
      </w:hyperlink>
    </w:p>
    <w:p w:rsidR="00DC1A3B" w:rsidRPr="00DC1A3B" w:rsidRDefault="00DC1A3B" w:rsidP="00DC1A3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Vakil N. B. Peptic ulcer disease: Management (2016)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>Tilgjengelig fra:</w:t>
      </w:r>
      <w:hyperlink r:id="rId28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 xml:space="preserve"> https://www.uptodate.com/contents/peptic-ulcer-disease-management#!</w:t>
        </w:r>
      </w:hyperlink>
    </w:p>
    <w:p w:rsidR="00DC1A3B" w:rsidRPr="00DC1A3B" w:rsidRDefault="00DC1A3B" w:rsidP="00DC1A3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Rockey, D. C. Causes of upper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29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http://www.uptodate.com/contents/2644</w:t>
        </w:r>
      </w:hyperlink>
    </w:p>
    <w:p w:rsidR="00DC1A3B" w:rsidRPr="00DC1A3B" w:rsidRDefault="00DC1A3B" w:rsidP="00DC1A3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Travis, A. C. Evaluation of occult gastrointestinal bleeding (2016)</w:t>
      </w:r>
      <w:r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r w:rsidRPr="00DC1A3B">
        <w:rPr>
          <w:rFonts w:ascii="Calibri" w:hAnsi="Calibri" w:cs="Calibri"/>
          <w:color w:val="333333"/>
          <w:sz w:val="20"/>
          <w:szCs w:val="20"/>
        </w:rPr>
        <w:t xml:space="preserve">Tilgjengelig fra: </w:t>
      </w:r>
      <w:hyperlink r:id="rId30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http://www.uptodate.com/contents/2544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Strate, L. Etiology of lower gastrointestinal bleeding in adults (2016)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31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http://www.uptodate.com/contents/2546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 xml:space="preserve">Cave, D. Evaluation of suspected small bowel bleeding (formerly obscure gastrointestinal bleeding) (2015) Tilgjengelig fra: </w:t>
      </w:r>
      <w:hyperlink r:id="rId32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http://www.uptodate.com/contents/2625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>Sanyal, A. J. General principles of the management of variceal hemorrhage (2017)</w:t>
      </w: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br/>
        <w:t xml:space="preserve">Tilgjengelig fra: </w:t>
      </w:r>
      <w:hyperlink r:id="rId33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  <w:lang w:val="en-US"/>
          </w:rPr>
          <w:t>http://www.uptodate.com/contents/1254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NICE guidance. Acute upper gastrointestinal bleeding: management (2013)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4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https://www.nice.org.uk/guidance/qs38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Adler, D. G. Assesment of upper gastrointestinal bleeding (2017)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5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http://bestpractice.bmj.com/best-practice/monograph/456.html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  <w:lang w:val="en-US"/>
        </w:rPr>
        <w:t xml:space="preserve">ACG Clinical Guideline: Management of patients with acute lower gastrointestinal bleeding Am J Gastroenterol. </w:t>
      </w:r>
      <w:r w:rsidRPr="00DC1A3B">
        <w:rPr>
          <w:rFonts w:ascii="Calibri" w:hAnsi="Calibri" w:cs="Calibri"/>
          <w:color w:val="333333"/>
          <w:sz w:val="20"/>
          <w:szCs w:val="20"/>
        </w:rPr>
        <w:t>201, 111(4):459-74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6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http://www.ncbi.nlm.nih.gov/pubmed/?term=26925883</w:t>
        </w:r>
      </w:hyperlink>
    </w:p>
    <w:p w:rsidR="00DC1A3B" w:rsidRPr="00DC1A3B" w:rsidRDefault="00DC1A3B" w:rsidP="00DC1A3B">
      <w:pPr>
        <w:numPr>
          <w:ilvl w:val="0"/>
          <w:numId w:val="3"/>
        </w:numPr>
        <w:spacing w:after="0" w:line="240" w:lineRule="auto"/>
        <w:rPr>
          <w:rStyle w:val="Hyperkobling"/>
          <w:rFonts w:ascii="Calibri" w:hAnsi="Calibri" w:cs="Calibri"/>
          <w:color w:val="333333"/>
          <w:sz w:val="20"/>
          <w:szCs w:val="20"/>
        </w:rPr>
      </w:pPr>
      <w:r w:rsidRPr="00DC1A3B">
        <w:rPr>
          <w:rFonts w:ascii="Calibri" w:hAnsi="Calibri" w:cs="Calibri"/>
          <w:color w:val="333333"/>
          <w:sz w:val="20"/>
          <w:szCs w:val="20"/>
        </w:rPr>
        <w:t>Meyer, M. M. Peptic ulcer disease (2017)</w:t>
      </w:r>
      <w:r w:rsidRPr="00DC1A3B">
        <w:rPr>
          <w:rFonts w:ascii="Calibri" w:hAnsi="Calibri" w:cs="Calibri"/>
          <w:color w:val="333333"/>
          <w:sz w:val="20"/>
          <w:szCs w:val="20"/>
        </w:rPr>
        <w:br/>
        <w:t xml:space="preserve">Tilgjengelig fra: </w:t>
      </w:r>
      <w:hyperlink r:id="rId37" w:tgtFrame="_self" w:history="1">
        <w:r w:rsidRPr="00DC1A3B">
          <w:rPr>
            <w:rStyle w:val="Hyperkobling"/>
            <w:rFonts w:ascii="Calibri" w:hAnsi="Calibri" w:cs="Calibri"/>
            <w:sz w:val="20"/>
            <w:szCs w:val="20"/>
          </w:rPr>
          <w:t>http://bestpractice.bmj.com/best-practice/monograph/80.html</w:t>
        </w:r>
      </w:hyperlink>
    </w:p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466E19" w:rsidRPr="00776209" w:rsidRDefault="00DC1A3B" w:rsidP="00230014">
      <w:pPr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hAnsi="Calibri" w:cs="Calibri"/>
          <w:sz w:val="18"/>
          <w:szCs w:val="18"/>
        </w:rPr>
        <w:br w:type="page"/>
      </w:r>
      <w:r w:rsidRPr="00230014">
        <w:rPr>
          <w:rFonts w:ascii="Calibri" w:eastAsia="Times New Roman" w:hAnsi="Calibri" w:cs="Times New Roman"/>
          <w:b/>
          <w:bCs/>
          <w:sz w:val="28"/>
          <w:szCs w:val="32"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DC1A3B" w:rsidRPr="00230014" w:rsidTr="00230014"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Identifisere tegn til gastrointestinal blødning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Begrense fare for reblødning </w:t>
            </w:r>
          </w:p>
          <w:p w:rsidR="00DC1A3B" w:rsidRPr="00230014" w:rsidRDefault="00203386" w:rsidP="0020338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Begrense fare for GI-blødning hos utsatte pasienter</w:t>
            </w:r>
          </w:p>
          <w:p w:rsidR="00203386" w:rsidRPr="00230014" w:rsidRDefault="00203386" w:rsidP="00203386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VBP-en gjelder for alle voksne fra 16 år og oppover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VBP-en gjelder for pasienter med aktiv GI-blødning, og pasienter med økt risiko for GI</w:t>
            </w:r>
            <w:r w:rsidR="00776209"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blødning/reblødning </w:t>
            </w:r>
          </w:p>
          <w:p w:rsidR="00203386" w:rsidRPr="00230014" w:rsidRDefault="00203386" w:rsidP="0020338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VBP-en gjelder for pasienter som utredes for okkult GI-blødning, for eksempel pasienter til anemiutredning </w:t>
            </w:r>
          </w:p>
          <w:p w:rsidR="00DC1A3B" w:rsidRPr="00230014" w:rsidRDefault="00DC1A3B" w:rsidP="00DC1A3B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Gjennomgang januar 2021</w:t>
            </w: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SSHF (innleie HSØ)</w:t>
            </w: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Sidsel R. Børmark HSØ</w:t>
            </w: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Revidert november 2019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Prosjekt VBP Helse Nord: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Rita Hofsøy, Spesialsykepleier, fagsykepleier, Med avd, UNN Harstad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Hege Jenssen, Klinikkrådgiver, HLK, UNN Tromsø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Lisa Johansen, Spesialsykepleier, AKUM, UNN Tromsø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687111" w:rsidRPr="00230014" w:rsidRDefault="00687111" w:rsidP="002033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2018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Kristin Rosten, sykepleier, gastromedisinsk avdeling, OUS, Ullevål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Anja Sørensen, sykepleier, gastromedisinsk avdeling, OUS, Ullevål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Tone Lisland, sykepleier, gastromedisinsk avdeling, OUS, Ullevål 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VBP-en er utarbeidet av ansatte ved en sengepost som er i daglig kontakt med pasientgruppen. Det ble ikke ansett nødvendig å rekruttere andre faggrupper til utarbeidelsen, basert på en behovsvurdering og at VBP er et verktøy som benyttes av sykepleiere og helsepersonell med pleieansvar. </w:t>
            </w:r>
          </w:p>
          <w:p w:rsidR="00203386" w:rsidRPr="00230014" w:rsidRDefault="00203386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DC1A3B" w:rsidRPr="00230014" w:rsidRDefault="00DC1A3B" w:rsidP="002033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23001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23001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Synspunkter og preferanser fra målgruppen (pasient/bruker) som VBP-en gjelder for (brukermedvirkning) er forsøkt inkludert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Pasienter med sykdomsprosesser i relasjon til GI-traktus kan stå i fare for å utvikle blødning grunnet ulike tilstander som f.eks. øsofagusvaricer, ulcus, kolondivertikler, kolitt og malignitet, eller som en komplikasjon til invasive prosedyrer som polyppektomi, biopsitaking, ERCP, etc. Arbeidsgruppen ønsker å kartlegge hvilke observasjoner som er de beste for disse pasientene med hensikt til å forhindre og avdekke en blødning i tidlig fase. 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eastAsia="Calibri" w:hAnsi="Calibri" w:cs="Calibri"/>
                <w:sz w:val="20"/>
                <w:szCs w:val="20"/>
              </w:rPr>
              <w:t xml:space="preserve">Arbeidsgruppens erfaring er at en del av pasientene med GI-blødning står i fare for reblødning. Arbeidsgruppen ønsker å finne ut hvilke observasjoner som er mest hensiktsmessige for å avdekke tidlige tegn på reblødning. </w:t>
            </w:r>
          </w:p>
          <w:p w:rsidR="00203386" w:rsidRPr="00230014" w:rsidRDefault="00203386" w:rsidP="00203386">
            <w:pPr>
              <w:spacing w:line="239" w:lineRule="auto"/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eastAsia="Calibri" w:hAnsi="Calibri" w:cs="Calibri"/>
                <w:sz w:val="20"/>
                <w:szCs w:val="20"/>
              </w:rPr>
              <w:t xml:space="preserve">Deltakerne i arbeidsgruppen erfarer opptil daglig å være i kontakt med pasienter med GIblødninger av ulik alvorlighetsgrad, fra pasienter under utredning av okkult blødning til pasienter som er sirkulatorisk påvirket av en pågående blødning. Vi ønsker å lage en veiledende behandlingsplan som omfavner hele målgruppen, og som kan individualiseres. </w:t>
            </w:r>
          </w:p>
          <w:p w:rsidR="00203386" w:rsidRPr="00230014" w:rsidRDefault="00203386" w:rsidP="00203386">
            <w:pPr>
              <w:spacing w:after="2" w:line="237" w:lineRule="auto"/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eastAsia="Calibri" w:hAnsi="Calibri" w:cs="Calibri"/>
                <w:sz w:val="20"/>
                <w:szCs w:val="20"/>
              </w:rPr>
              <w:t xml:space="preserve">Arbeidsgruppen har tatt utgangspunkt i at det ikke eksisterer en spesifikk behandlingsplan for pasienter med pågående blødning eller økt blødningsrisiko. </w:t>
            </w:r>
            <w:r w:rsidRPr="00230014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2019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ICNP er anvendt som kodeverk.  Det er tatt utgangspunkt i eksisterende plan i NANDA og NIC. På grunn av forskjeller i kodeverket og tilpasninger i journalsystemet er begreper fra NANDA og NIC slått sammen eller delt opp. Der utsagn mangler i ICNP er det meldt inn til Norsk senter for ICNP.  Egenomsorg er fjernet i denne planen, men kan lett finnes igjen i andre planer.  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Forordninger er basert på sykepleieklassifikasjonen NIC. 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Artiklene fra databasesøkene er fordelt og lest gjennom av alle deltakerne i arbeidsgruppen. Deltakerne har diskutert og funnet likheter i artiklene i fellesskap, for deretter å komme frem til de ulike forordningene. Det er også ut ifra erfaring med pasientgruppen gjort en skjønnsmessig vurdering av hva som er relevant i artiklene.  </w:t>
            </w:r>
          </w:p>
          <w:p w:rsidR="00203386" w:rsidRPr="00230014" w:rsidRDefault="00203386" w:rsidP="0020338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Bibliotekar har søkt i et begrenset antall databaser etter oppsummert forskning, samt enkeltstudier. Det er først og fremst søkt etter systematiske overskrifter og/eller artikler publisert i nordiske sykepleietidsskrifter. 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Se vedlegg «Dokumentasjon av litteratursøk for VBP» </w:t>
            </w:r>
          </w:p>
          <w:p w:rsidR="00DC1A3B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brukt én stjernediagnose. Risiko for blødning som er hentet fra ICNP 10017268.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ble kun søkt etter studier gjeldende voksne fra 16 år og oppover.</w:t>
            </w:r>
          </w:p>
          <w:p w:rsidR="00DC1A3B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ble kun søkt etter studier gjeldende medisinske pasienter, ikke blødning etter for eksempel kirurgi.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203386" w:rsidRPr="00230014" w:rsidRDefault="00DC1A3B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DC1A3B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brukt Vancouver referansestil. NIC eller enkeltforordninger som er støttet av innhentet forskning er synliggjort i VBP-en med tallreferanse bak. Det aktuelle kunnskapsgrunnlaget finnes i referanselisten.</w:t>
            </w:r>
          </w:p>
          <w:p w:rsidR="00203386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DC1A3B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>Litteraturlisten viser kun til medisinsk forskning. Dette på bakgrunn av resultater fra litteratursøk med bibliotekar.</w:t>
            </w:r>
          </w:p>
          <w:p w:rsidR="00203386" w:rsidRPr="00230014" w:rsidRDefault="00203386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2300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2019: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VBP er vurdert ekstern i Helse Nord før publisering.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Pia Fidje Amundsen, sykepleier ved gastromedisinsk poliklinikk Ullevål, med videreutdanning i gastrosykepleie og tidligere fagsykepleier ved gastromedisinsk avdeling.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Inger Botnevik, intensivsykepleier ved medisinsk intensiv, Ullevål sykehus (Venter tilbakemelding)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DC1A3B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Høringssvarene foreligger ikke, men vil bli tatt med i revidering av VBP-en.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DC1A3B" w:rsidRPr="00230014" w:rsidTr="00230014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C1A3B" w:rsidRPr="00230014" w:rsidRDefault="00DC1A3B" w:rsidP="00DC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DC1A3B" w:rsidRPr="00230014" w:rsidTr="00230014">
        <w:trPr>
          <w:trHeight w:val="680"/>
        </w:trPr>
        <w:tc>
          <w:tcPr>
            <w:tcW w:w="289" w:type="pct"/>
            <w:vAlign w:val="center"/>
          </w:tcPr>
          <w:p w:rsidR="00DC1A3B" w:rsidRPr="00230014" w:rsidRDefault="00DC1A3B" w:rsidP="00DC1A3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DC1A3B" w:rsidRPr="00230014" w:rsidRDefault="00DC1A3B" w:rsidP="00DC1A3B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203386" w:rsidRPr="00230014" w:rsidRDefault="00203386" w:rsidP="00203386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Tidsplan og ansvarlige personer for oppdatering av dokumentet er: </w:t>
            </w:r>
          </w:p>
          <w:p w:rsidR="00203386" w:rsidRPr="00230014" w:rsidRDefault="00203386" w:rsidP="00466E19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VBP-en må revideres etter 3 år. Dokumentansvarlig: Kristin Rosten. Revideres innen 2021</w:t>
            </w:r>
          </w:p>
          <w:p w:rsidR="00466E19" w:rsidRPr="00230014" w:rsidRDefault="00466E19" w:rsidP="00466E19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:rsidR="00230014" w:rsidRDefault="0023001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66E19" w:rsidRDefault="00466E19">
      <w:pPr>
        <w:rPr>
          <w:rFonts w:ascii="Calibri" w:hAnsi="Calibri" w:cs="Calibri"/>
          <w:sz w:val="18"/>
          <w:szCs w:val="18"/>
        </w:rPr>
      </w:pPr>
    </w:p>
    <w:p w:rsidR="00466E19" w:rsidRDefault="00466E19" w:rsidP="00147014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nb-NO"/>
        </w:rPr>
      </w:pPr>
      <w:r w:rsidRPr="00917DBF">
        <w:object w:dxaOrig="9794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6.6pt" o:ole="">
            <v:imagedata r:id="rId38" o:title=""/>
          </v:shape>
          <o:OLEObject Type="Embed" ProgID="MSPhotoEd.3" ShapeID="_x0000_i1025" DrawAspect="Content" ObjectID="_1681200792" r:id="rId39"/>
        </w:object>
      </w:r>
    </w:p>
    <w:p w:rsidR="00466E19" w:rsidRDefault="00466E19" w:rsidP="00147014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nb-NO"/>
        </w:rPr>
      </w:pPr>
      <w:r w:rsidRPr="005C1C2A">
        <w:rPr>
          <w:rFonts w:ascii="Calibri" w:eastAsia="Times New Roman" w:hAnsi="Calibri" w:cs="Calibri"/>
          <w:sz w:val="32"/>
          <w:szCs w:val="32"/>
          <w:lang w:eastAsia="nb-NO"/>
        </w:rPr>
        <w:t>Dokumentasjon av litteratursøk for VBP</w:t>
      </w:r>
      <w:r w:rsidR="00212A3D">
        <w:rPr>
          <w:rFonts w:ascii="Calibri" w:eastAsia="Times New Roman" w:hAnsi="Calibri" w:cs="Calibri"/>
          <w:sz w:val="32"/>
          <w:szCs w:val="32"/>
          <w:lang w:eastAsia="nb-NO"/>
        </w:rPr>
        <w:t xml:space="preserve"> Gastrointestinal blødning</w:t>
      </w: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color w:val="800000"/>
          <w:sz w:val="28"/>
          <w:szCs w:val="32"/>
          <w:lang w:eastAsia="nb-NO"/>
        </w:rPr>
      </w:pP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sz w:val="20"/>
          <w:lang w:eastAsia="nb-NO"/>
        </w:rPr>
      </w:pPr>
      <w:r w:rsidRPr="00230014">
        <w:rPr>
          <w:rFonts w:ascii="Calibri" w:eastAsia="Times New Roman" w:hAnsi="Calibri" w:cs="Calibri"/>
          <w:sz w:val="20"/>
          <w:lang w:eastAsia="nb-NO"/>
        </w:rPr>
        <w:t xml:space="preserve">Til søk for VBP utfører vi søk i de basene som er beskrevet nedenfor, dette etter avtale med Sidsel R. Børmark, Leder Klinisk Dokumentasjon Sykepleie (KDS) - DP Løsning Regional EPJ. </w:t>
      </w: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sz w:val="20"/>
          <w:lang w:eastAsia="nb-NO"/>
        </w:rPr>
      </w:pPr>
    </w:p>
    <w:p w:rsidR="00466E19" w:rsidRPr="00230014" w:rsidRDefault="00466E19" w:rsidP="00147014">
      <w:pPr>
        <w:spacing w:after="0" w:line="240" w:lineRule="auto"/>
        <w:rPr>
          <w:rFonts w:ascii="Calibri" w:eastAsia="Times New Roman" w:hAnsi="Calibri" w:cs="Calibri"/>
          <w:sz w:val="20"/>
          <w:lang w:eastAsia="nb-NO"/>
        </w:rPr>
      </w:pPr>
      <w:r w:rsidRPr="00230014">
        <w:rPr>
          <w:rFonts w:ascii="Calibri" w:eastAsia="Times New Roman" w:hAnsi="Calibri" w:cs="Calibri"/>
          <w:sz w:val="20"/>
          <w:lang w:eastAsia="nb-NO"/>
        </w:rPr>
        <w:t>Vi søker i et begrenset antall databaser, de fleste er kilder for oppsummert forskning. I databasene som også inneholder enkeltstudier - PubMed/Medline og SveMed+ søker vi først og fremst etter systematiske oversikter og/eller etter artikler publisert i diverse nordiske sykepleietidsskrifter, se kommentar ved disse basene under.</w:t>
      </w:r>
      <w:r w:rsidRPr="00230014">
        <w:rPr>
          <w:rFonts w:ascii="Calibri" w:eastAsia="Times New Roman" w:hAnsi="Calibri" w:cs="Calibri"/>
          <w:sz w:val="20"/>
          <w:lang w:eastAsia="nb-NO"/>
        </w:rPr>
        <w:tab/>
      </w: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5C1C2A">
        <w:rPr>
          <w:rFonts w:ascii="Calibri" w:eastAsia="Times New Roman" w:hAnsi="Calibri" w:cs="Calibri"/>
          <w:lang w:eastAsia="nb-NO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64"/>
        <w:gridCol w:w="7078"/>
      </w:tblGrid>
      <w:tr w:rsidR="00466E19" w:rsidRPr="00230014" w:rsidTr="00230014">
        <w:trPr>
          <w:trHeight w:val="397"/>
        </w:trPr>
        <w:tc>
          <w:tcPr>
            <w:tcW w:w="1086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Problemstilling</w:t>
            </w:r>
          </w:p>
        </w:tc>
        <w:tc>
          <w:tcPr>
            <w:tcW w:w="3914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Gastrointestinale blødninger</w:t>
            </w:r>
          </w:p>
        </w:tc>
      </w:tr>
      <w:tr w:rsidR="00466E19" w:rsidRPr="00027B0D" w:rsidTr="00230014">
        <w:trPr>
          <w:trHeight w:val="397"/>
        </w:trPr>
        <w:tc>
          <w:tcPr>
            <w:tcW w:w="1086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Bibliotekar som utførte/veiledet søket:</w:t>
            </w:r>
          </w:p>
        </w:tc>
        <w:tc>
          <w:tcPr>
            <w:tcW w:w="3914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Marie Isachsen 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40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Marie.isachsen@medisin.uio.no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</w:tc>
      </w:tr>
      <w:tr w:rsidR="00466E19" w:rsidRPr="00027B0D" w:rsidTr="00230014">
        <w:trPr>
          <w:trHeight w:val="397"/>
        </w:trPr>
        <w:tc>
          <w:tcPr>
            <w:tcW w:w="1086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Kontaktperson/avd.</w:t>
            </w:r>
          </w:p>
        </w:tc>
        <w:tc>
          <w:tcPr>
            <w:tcW w:w="3914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 xml:space="preserve">Anja Sørensen 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hyperlink r:id="rId41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anjsoe@ous-hf.no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Kristin Rosten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hyperlink r:id="rId42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krrost@ous-hf.no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Tone Lisland</w:t>
            </w: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br/>
            </w:r>
            <w:hyperlink r:id="rId43" w:history="1">
              <w:r w:rsidRPr="00230014">
                <w:rPr>
                  <w:rStyle w:val="Hyperkobling"/>
                  <w:rFonts w:ascii="Calibri" w:eastAsia="Times New Roman" w:hAnsi="Calibri" w:cs="Calibri"/>
                  <w:sz w:val="20"/>
                  <w:lang w:val="en-US" w:eastAsia="nb-NO"/>
                </w:rPr>
                <w:t>tolisl@ous-hf.no</w:t>
              </w:r>
            </w:hyperlink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Dato for søk: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4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2. mai 2016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u w:val="single"/>
                <w:lang w:eastAsia="nb-NO"/>
              </w:rPr>
            </w:pPr>
            <w:hyperlink r:id="rId44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Nasjonalt nettverk for fagprosedyrer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liste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72"/>
        <w:gridCol w:w="7170"/>
      </w:tblGrid>
      <w:tr w:rsidR="00466E19" w:rsidRPr="00230014" w:rsidTr="00230014">
        <w:trPr>
          <w:trHeight w:val="416"/>
        </w:trPr>
        <w:tc>
          <w:tcPr>
            <w:tcW w:w="1035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65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u w:val="single"/>
                <w:lang w:eastAsia="nb-NO"/>
              </w:rPr>
            </w:pPr>
            <w:hyperlink r:id="rId45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Nasjonale retningslinjer fra Helsedirektoratet</w:t>
              </w:r>
            </w:hyperlink>
          </w:p>
        </w:tc>
      </w:tr>
      <w:tr w:rsidR="00466E19" w:rsidRPr="00230014" w:rsidTr="00230014">
        <w:trPr>
          <w:trHeight w:val="416"/>
        </w:trPr>
        <w:tc>
          <w:tcPr>
            <w:tcW w:w="1035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65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 xml:space="preserve">Sett gjennom liste </w:t>
            </w:r>
          </w:p>
        </w:tc>
      </w:tr>
      <w:tr w:rsidR="00466E19" w:rsidRPr="00230014" w:rsidTr="00230014">
        <w:trPr>
          <w:trHeight w:val="416"/>
        </w:trPr>
        <w:tc>
          <w:tcPr>
            <w:tcW w:w="103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eastAsia="nb-NO"/>
              </w:rPr>
              <w:t xml:space="preserve">Prioriteringsveileder – fordøyelsessykdommer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eastAsia="nb-NO"/>
              </w:rPr>
              <w:t>GI-blødning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eastAsia="nb-NO"/>
              </w:rPr>
            </w:pPr>
            <w:hyperlink r:id="rId46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eastAsia="nb-NO"/>
                </w:rPr>
                <w:t>https://helsedirektoratet.no/retningslinjer/fordoyelsessykdommer/seksjon?Tittel=gi-blodning-9417</w:t>
              </w:r>
            </w:hyperlink>
            <w:r w:rsidR="00466E19" w:rsidRPr="00230014">
              <w:rPr>
                <w:rFonts w:ascii="Calibri" w:eastAsia="Times New Roman" w:hAnsi="Calibri" w:cs="Calibri"/>
                <w:noProof/>
                <w:color w:val="FF0000"/>
                <w:sz w:val="20"/>
                <w:lang w:eastAsia="nb-NO"/>
              </w:rPr>
              <w:t xml:space="preserve">  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47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Nasjonalt kunnskapssenter for helsetjenesten - rapporter og notater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Under «Velg type»: avgrenset til Rapporter fra Kunnskapssenteret, Pasopprapporter, Notater og Læringsnotater.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u w:val="single"/>
                <w:lang w:eastAsia="nb-NO"/>
              </w:rPr>
            </w:pPr>
            <w:hyperlink r:id="rId48" w:history="1">
              <w:r w:rsidR="00466E19" w:rsidRPr="00230014">
                <w:rPr>
                  <w:rFonts w:ascii="Calibri" w:eastAsia="Times New Roman" w:hAnsi="Calibri" w:cs="Calibri"/>
                  <w:b/>
                  <w:bCs/>
                  <w:color w:val="00B0F0"/>
                  <w:sz w:val="20"/>
                  <w:u w:val="single"/>
                  <w:lang w:eastAsia="nb-NO"/>
                </w:rPr>
                <w:t>Helsebibliotekets retningslinjebase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emnegruppe Mage og tarm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sz w:val="20"/>
              </w:rPr>
            </w:pP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hyperlink r:id="rId49" w:history="1">
              <w:r w:rsidR="00466E19" w:rsidRPr="00230014">
                <w:rPr>
                  <w:rStyle w:val="Hyperkobling"/>
                  <w:rFonts w:ascii="Calibri" w:eastAsia="Times New Roman" w:hAnsi="Calibri" w:cs="Calibri"/>
                  <w:sz w:val="20"/>
                  <w:lang w:eastAsia="nb-NO"/>
                </w:rPr>
                <w:t>http://www.helsebiblioteket.no/retningslinjer/mage-og-tarm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0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NICE Guidance (UK)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u w:val="single"/>
                <w:lang w:eastAsia="nb-NO"/>
              </w:rPr>
            </w:pP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NICE Guidance &gt; Conditions and diseases &gt; Digestive tract conditions</w:t>
            </w: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Acute upper gastrointestinal bleeding in adults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 xml:space="preserve">NICE quality standard [QS38] </w:t>
            </w:r>
          </w:p>
          <w:bookmarkStart w:id="1" w:name="_Hlk493845975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fldChar w:fldCharType="begin"/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instrText xml:space="preserve"> HYPERLINK "https://www.nice.org.uk/guidance/qs38" </w:instrTex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noProof/>
                <w:color w:val="0000FF"/>
                <w:sz w:val="20"/>
                <w:u w:val="single"/>
                <w:lang w:val="en-US" w:eastAsia="nb-NO"/>
              </w:rPr>
              <w:t>https://www.nice.org.uk/guidance/qs38</w: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fldChar w:fldCharType="end"/>
            </w:r>
          </w:p>
          <w:bookmarkEnd w:id="1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Acute upper gastrointestinal bleeding: management.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National Institute for Health and Clinical Excellence (NICE). London (UK): 2012 (Clinical guideline; no. 141). 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hyperlink r:id="rId51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http://www.guideline.gov/content.aspx?id=37563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2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National Guideline Clearinghouse</w:t>
              </w:r>
            </w:hyperlink>
            <w:r w:rsidR="00466E19" w:rsidRPr="00230014"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  <w:t xml:space="preserve">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0"/>
                <w:u w:val="single"/>
                <w:lang w:eastAsia="nb-NO"/>
              </w:rPr>
            </w:pP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Browse by topic (ordnet etter MeSH):</w:t>
            </w: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br/>
              <w:t xml:space="preserve">Disease/Condition &gt; Diseases &gt; Digestive System Diseases &gt; Gastrointestinal Diseases &gt; Gastrointestinal Hemorrhage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Gastrointestinal disorders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American Medical Directors Association (AMDA). 2006, reaffirmed for currency by the developer in 2011.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hyperlink r:id="rId53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http://www.guideline.gov/content.aspx?id=9380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&amp;quot" w:eastAsia="Times New Roman" w:hAnsi="&amp;quot" w:cs="Times New Roman"/>
                <w:sz w:val="20"/>
                <w:szCs w:val="24"/>
                <w:highlight w:val="green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 xml:space="preserve">Esophageal varices. World Gastroenterology Organisation (WGO),  Milwaukee (WI): 2014    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hyperlink r:id="rId54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http://www.guideline.gov/content.aspx?id=47781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en-US" w:eastAsia="nb-NO"/>
              </w:rPr>
            </w:pP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</w:p>
        </w:tc>
      </w:tr>
    </w:tbl>
    <w:p w:rsidR="00466E19" w:rsidRPr="00FC0BAF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p w:rsidR="00466E19" w:rsidRPr="00FC0BAF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</w:pPr>
            <w:hyperlink r:id="rId55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val="da-DK" w:eastAsia="nb-NO"/>
                </w:rPr>
                <w:t>Socialstyrelsen (Sve) - Nationella riktlinjer</w:t>
              </w:r>
            </w:hyperlink>
            <w:r w:rsidR="00466E19" w:rsidRPr="00230014"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  <w:t xml:space="preserve"> 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liste</w:t>
            </w: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</w:pPr>
            <w:hyperlink r:id="rId56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val="da-DK" w:eastAsia="nb-NO"/>
                </w:rPr>
                <w:t>Sundhedsstyrelsen - Kvalitet og retningslinjer (DK)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val="da-DK"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 xml:space="preserve">Sett gjennom listene </w:t>
            </w:r>
            <w:r w:rsidRPr="00230014">
              <w:rPr>
                <w:rFonts w:ascii="Calibri" w:eastAsia="Times New Roman" w:hAnsi="Calibri" w:cs="Calibri"/>
                <w:sz w:val="20"/>
                <w:lang w:val="da-DK" w:eastAsia="nb-NO"/>
              </w:rPr>
              <w:t>Nationale Kliniske Retningslinjer og Medicinsk Teknologivurdering (MTV)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7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 xml:space="preserve">Dansk Center for Kliniske Retningslinjer 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Sett gjennom Godkente retningslinjer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0</w:t>
            </w: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700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58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UpToDate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gastrointestinal bleeding</w:t>
            </w: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Approach to acute upper gastrointestinal bleeding in adults</w:t>
            </w:r>
          </w:p>
          <w:bookmarkStart w:id="2" w:name="_Hlk507692938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  <w:r w:rsidRPr="00230014">
              <w:rPr>
                <w:sz w:val="20"/>
              </w:rPr>
              <w:fldChar w:fldCharType="begin"/>
            </w:r>
            <w:r w:rsidRPr="00230014">
              <w:rPr>
                <w:sz w:val="20"/>
                <w:lang w:val="en-US"/>
              </w:rPr>
              <w:instrText xml:space="preserve"> HYPERLINK "http://www.uptodate.com/contents/2548" </w:instrText>
            </w:r>
            <w:r w:rsidRPr="00230014">
              <w:rPr>
                <w:sz w:val="20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t>http://www.uptodate.com/contents/2548</w:t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fldChar w:fldCharType="end"/>
            </w:r>
            <w:bookmarkEnd w:id="2"/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Approach to acute lower gastrointestinal bleeding in adults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59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http://www.uptodate.com/contents/2547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Overview of the treatment of bleeding peptic ulcers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0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http://www.uptodate.com/contents/2573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Causes of upper gastrointestinal bleeding in adults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1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http://www.uptodate.com/contents/2644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Evaluation of occult gastrointestinal bleeding</w:t>
            </w:r>
          </w:p>
          <w:bookmarkStart w:id="3" w:name="_Hlk507694565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sz w:val="20"/>
              </w:rPr>
              <w:fldChar w:fldCharType="begin"/>
            </w:r>
            <w:r w:rsidRPr="00230014">
              <w:rPr>
                <w:sz w:val="20"/>
                <w:lang w:val="en-US"/>
              </w:rPr>
              <w:instrText xml:space="preserve"> HYPERLINK "http://www.uptodate.com/contents/2544" </w:instrText>
            </w:r>
            <w:r w:rsidRPr="00230014">
              <w:rPr>
                <w:sz w:val="20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t>http://www.uptodate.com/contents/2544</w:t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nb-NO"/>
              </w:rPr>
              <w:fldChar w:fldCharType="end"/>
            </w:r>
          </w:p>
          <w:bookmarkEnd w:id="3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Etiology of lower gastrointestinal bleeding in adults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2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http://www.uptodate.com/contents/2546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Evaluation of suspected small bowel bleeding (formerly obscure gastrointestinal bleeding) 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3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http://www.uptodate.com/contents/2625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General principles of the management of variceal hemorrhage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nb-NO"/>
              </w:rPr>
            </w:pPr>
            <w:hyperlink r:id="rId64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val="en-US" w:eastAsia="nb-NO"/>
                </w:rPr>
                <w:t>http://www.uptodate.com/contents/1254</w:t>
              </w:r>
            </w:hyperlink>
            <w:r w:rsidR="00466E19"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 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val="en-US" w:eastAsia="nb-NO"/>
              </w:rPr>
            </w:pP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en-US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65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Best Practice</w:t>
              </w:r>
            </w:hyperlink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Brukt Show Conditions</w:t>
            </w: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Assessment of upper gastrointestinal bleeding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val="en-US" w:eastAsia="nb-NO"/>
              </w:rPr>
            </w:pPr>
            <w:hyperlink r:id="rId66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en-US" w:eastAsia="nb-NO"/>
                </w:rPr>
                <w:t>http://bestpractice.bmj.com/best-practice/monograph/456.html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fr-FR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fr-FR" w:eastAsia="nb-NO"/>
              </w:rPr>
              <w:t>Peptic ulcer disease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szCs w:val="24"/>
                <w:lang w:val="fr-FR" w:eastAsia="nb-NO"/>
              </w:rPr>
            </w:pPr>
            <w:hyperlink r:id="rId67" w:history="1">
              <w:r w:rsidR="00466E19" w:rsidRPr="00230014">
                <w:rPr>
                  <w:rFonts w:ascii="Calibri" w:eastAsia="Times New Roman" w:hAnsi="Calibri" w:cs="Calibri"/>
                  <w:noProof/>
                  <w:color w:val="0000FF"/>
                  <w:sz w:val="20"/>
                  <w:u w:val="single"/>
                  <w:lang w:val="fr-FR" w:eastAsia="nb-NO"/>
                </w:rPr>
                <w:t>http://bestpractice.bmj.com/best-practice/monograph/80.html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sz w:val="20"/>
                <w:szCs w:val="24"/>
                <w:lang w:val="fr-FR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fr-FR"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fr-FR"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val="fr-FR"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027B0D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hyperlink r:id="rId68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val="en-US" w:eastAsia="nb-NO"/>
                </w:rPr>
                <w:t>The Cochrane Library</w:t>
              </w:r>
            </w:hyperlink>
            <w:r w:rsidR="00466E19"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 xml:space="preserve">   (Cochrane Reviews, Other Reviews, Technology  Assessments)</w:t>
            </w:r>
          </w:p>
        </w:tc>
      </w:tr>
      <w:tr w:rsidR="00466E19" w:rsidRPr="00027B0D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Søkehistorie: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nb-NO"/>
              </w:rPr>
              <w:t>(Gastrointestinal OR (peptic AND ulcer)) AND (Hemorrhage OR bleeding): in record title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val="en-US"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Finner bare litteratur som omhandler medikamentell behandling og lignende.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nb-NO"/>
              </w:rPr>
            </w:pPr>
          </w:p>
        </w:tc>
      </w:tr>
    </w:tbl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466E19" w:rsidRPr="005C1C2A" w:rsidRDefault="00466E19" w:rsidP="0014701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9"/>
        <w:gridCol w:w="7183"/>
      </w:tblGrid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Database/ressurs:</w:t>
            </w:r>
          </w:p>
        </w:tc>
        <w:tc>
          <w:tcPr>
            <w:tcW w:w="3972" w:type="pct"/>
          </w:tcPr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  <w:hyperlink r:id="rId69" w:history="1">
              <w:r w:rsidR="00466E19" w:rsidRPr="00230014">
                <w:rPr>
                  <w:rFonts w:ascii="Calibri" w:eastAsia="Times New Roman" w:hAnsi="Calibri" w:cs="Calibri"/>
                  <w:b/>
                  <w:color w:val="00B0F0"/>
                  <w:sz w:val="20"/>
                  <w:u w:val="single"/>
                  <w:lang w:eastAsia="nb-NO"/>
                </w:rPr>
                <w:t>PubMed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Vanligvis nøyer vi oss med å avgrense søkeresultatet med filteret «Systematic Reviews» eller med emneordet «Practice Guidelines as Topic».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F0"/>
                <w:sz w:val="20"/>
                <w:u w:val="single"/>
                <w:lang w:eastAsia="nb-NO"/>
              </w:rPr>
            </w:pPr>
          </w:p>
        </w:tc>
      </w:tr>
      <w:tr w:rsidR="00466E19" w:rsidRPr="00230014" w:rsidTr="00230014">
        <w:trPr>
          <w:trHeight w:val="397"/>
        </w:trPr>
        <w:tc>
          <w:tcPr>
            <w:tcW w:w="1028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b/>
                <w:sz w:val="20"/>
                <w:lang w:eastAsia="nb-NO"/>
              </w:rPr>
              <w:t>Søkehistorie og trefflister</w:t>
            </w:r>
          </w:p>
        </w:tc>
        <w:tc>
          <w:tcPr>
            <w:tcW w:w="3972" w:type="pct"/>
          </w:tcPr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</w:pP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(“Gastrointestinal Hemorrhage"[Majr] OR "Peptic Ulcer Hemorrhage"[Majr] OR "Peptic Ulcer"[Majr:NoExp] OR "Stomach Ulcer"[Majr] OR "Esophageal and Gastric Varices"[Majr]) AND (</w:t>
            </w:r>
            <w:r w:rsidRPr="00230014">
              <w:rPr>
                <w:rFonts w:ascii="Calibri" w:eastAsia="Times New Roman" w:hAnsi="Calibri" w:cs="Calibri"/>
                <w:b/>
                <w:noProof/>
                <w:sz w:val="20"/>
                <w:lang w:val="en-US" w:eastAsia="nb-NO"/>
              </w:rPr>
              <w:t>systematic[sb] OR Practice Guidelines as Topic[mesh]</w: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t>) AND "last 10 years"[PDat] AND (english[lang] OR norwegian[lang] OR swedish[lang] OR danish[lang])</w:t>
            </w:r>
            <w:r w:rsidRPr="00230014">
              <w:rPr>
                <w:rFonts w:ascii="Calibri" w:eastAsia="Times New Roman" w:hAnsi="Calibri" w:cs="Calibri"/>
                <w:noProof/>
                <w:sz w:val="20"/>
                <w:lang w:val="en-US" w:eastAsia="nb-NO"/>
              </w:rPr>
              <w:br/>
            </w:r>
          </w:p>
          <w:p w:rsidR="00466E19" w:rsidRPr="00230014" w:rsidRDefault="00466E19" w:rsidP="00EB0E37">
            <w:pPr>
              <w:spacing w:before="120" w:after="60" w:line="240" w:lineRule="auto"/>
              <w:outlineLvl w:val="0"/>
              <w:rPr>
                <w:rFonts w:ascii="Calibri" w:eastAsia="Times New Roman" w:hAnsi="Calibri" w:cs="Calibri"/>
                <w:bCs/>
                <w:kern w:val="32"/>
                <w:sz w:val="20"/>
                <w:lang w:eastAsia="x-none"/>
              </w:rPr>
            </w:pPr>
            <w:r w:rsidRPr="00230014">
              <w:rPr>
                <w:rFonts w:ascii="Calibri" w:eastAsia="Times New Roman" w:hAnsi="Calibri" w:cs="Calibri"/>
                <w:bCs/>
                <w:kern w:val="32"/>
                <w:sz w:val="20"/>
                <w:lang w:eastAsia="x-none"/>
              </w:rPr>
              <w:t>Av totalt 408 artikler har bibliotekar plukket ut disse 28 artiklene:</w:t>
            </w:r>
            <w:r w:rsidRPr="00230014">
              <w:rPr>
                <w:rFonts w:ascii="Calibri" w:eastAsia="Times New Roman" w:hAnsi="Calibri" w:cs="Calibri"/>
                <w:bCs/>
                <w:kern w:val="32"/>
                <w:sz w:val="20"/>
                <w:lang w:eastAsia="x-none"/>
              </w:rPr>
              <w:br/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hyperlink r:id="rId70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Display the 28 citations in PubMed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Blant de 28 artiklene var denne fra 2016: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zh-CN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zh-CN"/>
              </w:rPr>
              <w:t>ACG Clinical Guideline: Management of Patients With</w:t>
            </w:r>
          </w:p>
          <w:p w:rsidR="00466E19" w:rsidRPr="00230014" w:rsidRDefault="00466E19" w:rsidP="00EB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zh-CN"/>
              </w:rPr>
            </w:pPr>
            <w:r w:rsidRPr="00230014">
              <w:rPr>
                <w:rFonts w:ascii="Calibri" w:eastAsia="Times New Roman" w:hAnsi="Calibri" w:cs="Calibri"/>
                <w:sz w:val="20"/>
                <w:lang w:val="en-US" w:eastAsia="zh-CN"/>
              </w:rPr>
              <w:t>Acute Lower Gastrointestinal Bleeding. Am J Gastroenterol. 2016, 111(4):459-74.</w:t>
            </w:r>
          </w:p>
          <w:bookmarkStart w:id="4" w:name="_Hlk507694026"/>
          <w:p w:rsidR="00466E19" w:rsidRPr="00230014" w:rsidRDefault="00466E19" w:rsidP="00EB0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zh-CN"/>
              </w:rPr>
            </w:pPr>
            <w:r w:rsidRPr="00230014">
              <w:rPr>
                <w:sz w:val="20"/>
              </w:rPr>
              <w:fldChar w:fldCharType="begin"/>
            </w:r>
            <w:r w:rsidRPr="00230014">
              <w:rPr>
                <w:sz w:val="20"/>
                <w:lang w:val="en-US"/>
              </w:rPr>
              <w:instrText xml:space="preserve"> HYPERLINK "http://www.ncbi.nlm.nih.gov/pubmed/?term=26925883" </w:instrText>
            </w:r>
            <w:r w:rsidRPr="00230014">
              <w:rPr>
                <w:sz w:val="20"/>
              </w:rPr>
              <w:fldChar w:fldCharType="separate"/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zh-CN"/>
              </w:rPr>
              <w:t>http://www.ncbi.nlm.nih.gov/pubmed/?term=26925883</w:t>
            </w:r>
            <w:r w:rsidRPr="00230014">
              <w:rPr>
                <w:rFonts w:ascii="Calibri" w:eastAsia="Times New Roman" w:hAnsi="Calibri" w:cs="Calibri"/>
                <w:color w:val="0000FF"/>
                <w:sz w:val="20"/>
                <w:u w:val="single"/>
                <w:lang w:val="en-US" w:eastAsia="zh-CN"/>
              </w:rPr>
              <w:fldChar w:fldCharType="end"/>
            </w:r>
          </w:p>
          <w:bookmarkEnd w:id="4"/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Link til alle 408 artikler:</w:t>
            </w: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hyperlink r:id="rId71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http://www.ncbi.nlm.nih.gov/pubmed?otool=inouolib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nb-NO"/>
              </w:rPr>
            </w:pPr>
            <w:r w:rsidRPr="00230014">
              <w:rPr>
                <w:rFonts w:ascii="Calibri" w:eastAsia="Times New Roman" w:hAnsi="Calibri" w:cs="Calibri"/>
                <w:sz w:val="20"/>
                <w:lang w:eastAsia="nb-NO"/>
              </w:rPr>
              <w:t>Ved å fjerne filteret «Systematic Reviews» eller med emneordet «Practice Guidelines as Topic» resulterte det i et enda større trefftall. Bibliotekar plukket ut 7 artikler:</w:t>
            </w:r>
          </w:p>
          <w:p w:rsidR="00466E19" w:rsidRPr="00230014" w:rsidRDefault="005B5433" w:rsidP="00EB0E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  <w:lang w:eastAsia="nb-NO"/>
              </w:rPr>
            </w:pPr>
            <w:hyperlink r:id="rId72" w:history="1">
              <w:r w:rsidR="00466E19" w:rsidRPr="00230014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nb-NO"/>
                </w:rPr>
                <w:t>Display the 7 citations in PubMed</w:t>
              </w:r>
            </w:hyperlink>
          </w:p>
          <w:p w:rsidR="00466E19" w:rsidRPr="00230014" w:rsidRDefault="00466E19" w:rsidP="00EB0E37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lang w:eastAsia="nb-NO"/>
              </w:rPr>
            </w:pPr>
          </w:p>
        </w:tc>
      </w:tr>
    </w:tbl>
    <w:p w:rsidR="00466E19" w:rsidRDefault="00466E19">
      <w:r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78"/>
        <w:gridCol w:w="2271"/>
        <w:gridCol w:w="2235"/>
        <w:gridCol w:w="2278"/>
      </w:tblGrid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</w:rPr>
            </w:pPr>
            <w:r w:rsidRPr="00230014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Adult, include aged and aged, 80 and over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Nursing interventions</w:t>
            </w: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Treatment outcomes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In patiens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Approach</w:t>
            </w: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Problem identification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Gastrointestinal hemorrhage. Not surgical, not intracrandial hemorrhage, not uterine hemorrhage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Limit gastrointestinal bleeding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Bleeding risk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Prevent gastrointestinal bleeding</w:t>
            </w: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Risk factors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Risk for injury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Gastrointestinal bleeding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0014">
              <w:rPr>
                <w:rFonts w:ascii="Calibri" w:hAnsi="Calibri" w:cs="Calibri"/>
                <w:sz w:val="20"/>
                <w:szCs w:val="20"/>
                <w:lang w:val="en-US"/>
              </w:rPr>
              <w:t>Acute gastrointestinal bleeding</w:t>
            </w: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66E19" w:rsidRPr="00230014" w:rsidTr="00230014"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57" w:type="pct"/>
          </w:tcPr>
          <w:p w:rsidR="00466E19" w:rsidRPr="00230014" w:rsidRDefault="00466E19" w:rsidP="003862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466E19" w:rsidRDefault="00466E19" w:rsidP="00147014"/>
    <w:p w:rsidR="00466E19" w:rsidRDefault="00466E19"/>
    <w:p w:rsidR="00466E19" w:rsidRPr="0041537A" w:rsidRDefault="00466E19">
      <w:pPr>
        <w:rPr>
          <w:rFonts w:ascii="Calibri" w:hAnsi="Calibri" w:cs="Calibri"/>
          <w:sz w:val="18"/>
          <w:szCs w:val="18"/>
        </w:rPr>
      </w:pPr>
    </w:p>
    <w:sectPr w:rsidR="00466E19" w:rsidRPr="0041537A">
      <w:headerReference w:type="default" r:id="rId73"/>
      <w:footerReference w:type="default" r:id="rId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EE" w:rsidRDefault="00B314EE" w:rsidP="0041537A">
      <w:pPr>
        <w:spacing w:after="0" w:line="240" w:lineRule="auto"/>
      </w:pPr>
      <w:r>
        <w:separator/>
      </w:r>
    </w:p>
  </w:endnote>
  <w:endnote w:type="continuationSeparator" w:id="0">
    <w:p w:rsidR="00B314EE" w:rsidRDefault="00B314EE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14EE" w:rsidRPr="0041537A" w:rsidRDefault="0015461E" w:rsidP="0015461E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februar 21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314EE" w:rsidRPr="0041537A">
              <w:rPr>
                <w:sz w:val="20"/>
                <w:szCs w:val="20"/>
              </w:rPr>
              <w:t xml:space="preserve">Side </w:t>
            </w:r>
            <w:r w:rsidR="00B314EE" w:rsidRPr="0041537A">
              <w:rPr>
                <w:bCs/>
                <w:sz w:val="20"/>
                <w:szCs w:val="20"/>
              </w:rPr>
              <w:fldChar w:fldCharType="begin"/>
            </w:r>
            <w:r w:rsidR="00B314EE" w:rsidRPr="0041537A">
              <w:rPr>
                <w:bCs/>
                <w:sz w:val="20"/>
                <w:szCs w:val="20"/>
              </w:rPr>
              <w:instrText>PAGE</w:instrText>
            </w:r>
            <w:r w:rsidR="00B314EE" w:rsidRPr="0041537A">
              <w:rPr>
                <w:bCs/>
                <w:sz w:val="20"/>
                <w:szCs w:val="20"/>
              </w:rPr>
              <w:fldChar w:fldCharType="separate"/>
            </w:r>
            <w:r w:rsidR="005B5433">
              <w:rPr>
                <w:bCs/>
                <w:noProof/>
                <w:sz w:val="20"/>
                <w:szCs w:val="20"/>
              </w:rPr>
              <w:t>1</w:t>
            </w:r>
            <w:r w:rsidR="00B314EE" w:rsidRPr="0041537A">
              <w:rPr>
                <w:bCs/>
                <w:sz w:val="20"/>
                <w:szCs w:val="20"/>
              </w:rPr>
              <w:fldChar w:fldCharType="end"/>
            </w:r>
            <w:r w:rsidR="00B314EE" w:rsidRPr="0041537A">
              <w:rPr>
                <w:sz w:val="20"/>
                <w:szCs w:val="20"/>
              </w:rPr>
              <w:t xml:space="preserve"> av </w:t>
            </w:r>
            <w:r w:rsidR="00B314EE" w:rsidRPr="0041537A">
              <w:rPr>
                <w:bCs/>
                <w:sz w:val="20"/>
                <w:szCs w:val="20"/>
              </w:rPr>
              <w:fldChar w:fldCharType="begin"/>
            </w:r>
            <w:r w:rsidR="00B314EE" w:rsidRPr="0041537A">
              <w:rPr>
                <w:bCs/>
                <w:sz w:val="20"/>
                <w:szCs w:val="20"/>
              </w:rPr>
              <w:instrText>NUMPAGES</w:instrText>
            </w:r>
            <w:r w:rsidR="00B314EE" w:rsidRPr="0041537A">
              <w:rPr>
                <w:bCs/>
                <w:sz w:val="20"/>
                <w:szCs w:val="20"/>
              </w:rPr>
              <w:fldChar w:fldCharType="separate"/>
            </w:r>
            <w:r w:rsidR="005B5433">
              <w:rPr>
                <w:bCs/>
                <w:noProof/>
                <w:sz w:val="20"/>
                <w:szCs w:val="20"/>
              </w:rPr>
              <w:t>11</w:t>
            </w:r>
            <w:r w:rsidR="00B314EE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14EE" w:rsidRDefault="00B314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EE" w:rsidRDefault="00B314EE" w:rsidP="0041537A">
      <w:pPr>
        <w:spacing w:after="0" w:line="240" w:lineRule="auto"/>
      </w:pPr>
      <w:r>
        <w:separator/>
      </w:r>
    </w:p>
  </w:footnote>
  <w:footnote w:type="continuationSeparator" w:id="0">
    <w:p w:rsidR="00B314EE" w:rsidRDefault="00B314EE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EE" w:rsidRPr="0041537A" w:rsidRDefault="00B25B1B">
    <w:pPr>
      <w:pStyle w:val="Topptekst"/>
      <w:rPr>
        <w:rStyle w:val="Sterk"/>
        <w:sz w:val="28"/>
      </w:rPr>
    </w:pPr>
    <w:r>
      <w:rPr>
        <w:rStyle w:val="Sterk"/>
        <w:sz w:val="28"/>
      </w:rPr>
      <w:t>Nasjonal veiledende plan</w:t>
    </w:r>
    <w:r w:rsidR="00EA62C1">
      <w:rPr>
        <w:rStyle w:val="Sterk"/>
        <w:sz w:val="28"/>
      </w:rPr>
      <w:t xml:space="preserve"> for sykepleiepraksis</w:t>
    </w:r>
    <w:r>
      <w:rPr>
        <w:rStyle w:val="Sterk"/>
        <w:sz w:val="28"/>
      </w:rPr>
      <w:t xml:space="preserve">: </w:t>
    </w:r>
    <w:r w:rsidR="00411F4A" w:rsidRPr="00411F4A">
      <w:rPr>
        <w:rStyle w:val="Sterk"/>
        <w:sz w:val="28"/>
      </w:rPr>
      <w:t>Gastrointestinal (GI) blødning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1DF"/>
    <w:multiLevelType w:val="hybridMultilevel"/>
    <w:tmpl w:val="00CC0A9C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0C94736"/>
    <w:multiLevelType w:val="multilevel"/>
    <w:tmpl w:val="7668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830B5"/>
    <w:multiLevelType w:val="multilevel"/>
    <w:tmpl w:val="7668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41179"/>
    <w:multiLevelType w:val="multilevel"/>
    <w:tmpl w:val="F724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401F4"/>
    <w:multiLevelType w:val="multilevel"/>
    <w:tmpl w:val="86F8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9549B"/>
    <w:multiLevelType w:val="hybridMultilevel"/>
    <w:tmpl w:val="FA1C99AE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832623B"/>
    <w:multiLevelType w:val="multilevel"/>
    <w:tmpl w:val="556E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4"/>
    </w:lvlOverride>
  </w:num>
  <w:num w:numId="3">
    <w:abstractNumId w:val="3"/>
    <w:lvlOverride w:ilvl="0">
      <w:startOverride w:val="7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27B0D"/>
    <w:rsid w:val="0015461E"/>
    <w:rsid w:val="001556A3"/>
    <w:rsid w:val="00203386"/>
    <w:rsid w:val="00212A3D"/>
    <w:rsid w:val="00230014"/>
    <w:rsid w:val="002F1538"/>
    <w:rsid w:val="00411F4A"/>
    <w:rsid w:val="0041537A"/>
    <w:rsid w:val="00441D76"/>
    <w:rsid w:val="00445AFE"/>
    <w:rsid w:val="00466E19"/>
    <w:rsid w:val="00474E0C"/>
    <w:rsid w:val="005B5433"/>
    <w:rsid w:val="00687111"/>
    <w:rsid w:val="00757D51"/>
    <w:rsid w:val="00771810"/>
    <w:rsid w:val="00776209"/>
    <w:rsid w:val="00980B1B"/>
    <w:rsid w:val="00AA4E93"/>
    <w:rsid w:val="00B25B1B"/>
    <w:rsid w:val="00B314EE"/>
    <w:rsid w:val="00B90F81"/>
    <w:rsid w:val="00D60339"/>
    <w:rsid w:val="00DC1A3B"/>
    <w:rsid w:val="00E816D2"/>
    <w:rsid w:val="00E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89BB94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5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3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ptodate.com/contents/2547" TargetMode="External"/><Relationship Id="rId21" Type="http://schemas.openxmlformats.org/officeDocument/2006/relationships/hyperlink" Target="https://www.varnett.no/portal/procedure/7771" TargetMode="External"/><Relationship Id="rId42" Type="http://schemas.openxmlformats.org/officeDocument/2006/relationships/hyperlink" Target="mailto:krrost@ous-hf.no" TargetMode="External"/><Relationship Id="rId47" Type="http://schemas.openxmlformats.org/officeDocument/2006/relationships/hyperlink" Target="http://www.kunnskapssenteret.no/Publikasjoner?Nynorsk=Publikasjonar&amp;reportsandnotes=1&amp;searchbutton.x=0&amp;searchbutton.y=0" TargetMode="External"/><Relationship Id="rId63" Type="http://schemas.openxmlformats.org/officeDocument/2006/relationships/hyperlink" Target="http://www.uptodate.com/contents/2625" TargetMode="External"/><Relationship Id="rId68" Type="http://schemas.openxmlformats.org/officeDocument/2006/relationships/hyperlink" Target="http://www.thecochrane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rnett.no/portal/procedure/7909" TargetMode="External"/><Relationship Id="rId29" Type="http://schemas.openxmlformats.org/officeDocument/2006/relationships/hyperlink" Target="http://www.uptodate.com/contents/2644" TargetMode="External"/><Relationship Id="rId11" Type="http://schemas.openxmlformats.org/officeDocument/2006/relationships/hyperlink" Target="https://www.varnett.no/portal/procedure/7794" TargetMode="External"/><Relationship Id="rId24" Type="http://schemas.openxmlformats.org/officeDocument/2006/relationships/hyperlink" Target="https://www.varnett.no/portal/procedure/7488" TargetMode="External"/><Relationship Id="rId32" Type="http://schemas.openxmlformats.org/officeDocument/2006/relationships/hyperlink" Target="http://www.uptodate.com/contents/2625" TargetMode="External"/><Relationship Id="rId37" Type="http://schemas.openxmlformats.org/officeDocument/2006/relationships/hyperlink" Target="http://bestpractice.bmj.com/best-practice/monograph/80.html" TargetMode="External"/><Relationship Id="rId40" Type="http://schemas.openxmlformats.org/officeDocument/2006/relationships/hyperlink" Target="mailto:Marie.isachsen@medisin.uio.no" TargetMode="External"/><Relationship Id="rId45" Type="http://schemas.openxmlformats.org/officeDocument/2006/relationships/hyperlink" Target="https://helsedirektoratet.no/retningslinjer" TargetMode="External"/><Relationship Id="rId53" Type="http://schemas.openxmlformats.org/officeDocument/2006/relationships/hyperlink" Target="http://www.guideline.gov/content.aspx?id=9380" TargetMode="External"/><Relationship Id="rId58" Type="http://schemas.openxmlformats.org/officeDocument/2006/relationships/hyperlink" Target="http://www.uptodate.com/contents/search" TargetMode="External"/><Relationship Id="rId66" Type="http://schemas.openxmlformats.org/officeDocument/2006/relationships/hyperlink" Target="http://bestpractice.bmj.com/best-practice/monograph/456.html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uptodate.com/contents/2644" TargetMode="External"/><Relationship Id="rId19" Type="http://schemas.openxmlformats.org/officeDocument/2006/relationships/hyperlink" Target="https://www.varnett.no/portal/procedure/7805" TargetMode="External"/><Relationship Id="rId14" Type="http://schemas.openxmlformats.org/officeDocument/2006/relationships/hyperlink" Target="https://www.varnett.no/portal/procedure/7875" TargetMode="External"/><Relationship Id="rId22" Type="http://schemas.openxmlformats.org/officeDocument/2006/relationships/hyperlink" Target="https://www.varnett.no/portal/procedure/7710" TargetMode="External"/><Relationship Id="rId27" Type="http://schemas.openxmlformats.org/officeDocument/2006/relationships/hyperlink" Target="http://www.uptodate.com/contents/2573" TargetMode="External"/><Relationship Id="rId30" Type="http://schemas.openxmlformats.org/officeDocument/2006/relationships/hyperlink" Target="http://www.uptodate.com/contents/2544" TargetMode="External"/><Relationship Id="rId35" Type="http://schemas.openxmlformats.org/officeDocument/2006/relationships/hyperlink" Target="http://bestpractice.bmj.com/best-practice/monograph/456.html" TargetMode="External"/><Relationship Id="rId43" Type="http://schemas.openxmlformats.org/officeDocument/2006/relationships/hyperlink" Target="mailto:tolisl@ous-hf.no" TargetMode="External"/><Relationship Id="rId48" Type="http://schemas.openxmlformats.org/officeDocument/2006/relationships/hyperlink" Target="http://www.helsebiblioteket.no/retningslinjer/" TargetMode="External"/><Relationship Id="rId56" Type="http://schemas.openxmlformats.org/officeDocument/2006/relationships/hyperlink" Target="http://sundhedsstyrelsen.dk/da/sundhed/kvalitet-og-retningslinjer/nationale-kliniske-retningslinjer/udgivelser" TargetMode="External"/><Relationship Id="rId64" Type="http://schemas.openxmlformats.org/officeDocument/2006/relationships/hyperlink" Target="http://www.uptodate.com/contents/1254" TargetMode="External"/><Relationship Id="rId69" Type="http://schemas.openxmlformats.org/officeDocument/2006/relationships/hyperlink" Target="http://www.ncbi.nlm.nih.gov/pubmed?otool=inouuhlib" TargetMode="External"/><Relationship Id="rId8" Type="http://schemas.openxmlformats.org/officeDocument/2006/relationships/hyperlink" Target="https://www.varnett.no/portal/procedure/7417" TargetMode="External"/><Relationship Id="rId51" Type="http://schemas.openxmlformats.org/officeDocument/2006/relationships/hyperlink" Target="http://www.guideline.gov/content.aspx?id=37563" TargetMode="External"/><Relationship Id="rId72" Type="http://schemas.openxmlformats.org/officeDocument/2006/relationships/hyperlink" Target="http://www.ncbi.nlm.nih.gov/pubmed/23337318,25141760,24945872,24282360,24277160,24160924,237469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arnett.no/portal/procedure/7848" TargetMode="External"/><Relationship Id="rId17" Type="http://schemas.openxmlformats.org/officeDocument/2006/relationships/hyperlink" Target="https://www.varnett.no/portal/procedure/7819" TargetMode="External"/><Relationship Id="rId25" Type="http://schemas.openxmlformats.org/officeDocument/2006/relationships/hyperlink" Target="http://www.uptodate.com/contents/2548" TargetMode="External"/><Relationship Id="rId33" Type="http://schemas.openxmlformats.org/officeDocument/2006/relationships/hyperlink" Target="http://www.uptodate.com/contents/1254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helsedirektoratet.no/retningslinjer/fordoyelsessykdommer/seksjon?Tittel=gi-blodning-9417" TargetMode="External"/><Relationship Id="rId59" Type="http://schemas.openxmlformats.org/officeDocument/2006/relationships/hyperlink" Target="http://www.uptodate.com/contents/2547" TargetMode="External"/><Relationship Id="rId67" Type="http://schemas.openxmlformats.org/officeDocument/2006/relationships/hyperlink" Target="http://bestpractice.bmj.com/best-practice/monograph/80.html" TargetMode="External"/><Relationship Id="rId20" Type="http://schemas.openxmlformats.org/officeDocument/2006/relationships/hyperlink" Target="https://www.varnett.no/portal/procedure/7796" TargetMode="External"/><Relationship Id="rId41" Type="http://schemas.openxmlformats.org/officeDocument/2006/relationships/hyperlink" Target="mailto:anjsoe@ous-hf.no" TargetMode="External"/><Relationship Id="rId54" Type="http://schemas.openxmlformats.org/officeDocument/2006/relationships/hyperlink" Target="http://www.guideline.gov/content.aspx?id=47781" TargetMode="External"/><Relationship Id="rId62" Type="http://schemas.openxmlformats.org/officeDocument/2006/relationships/hyperlink" Target="http://www.uptodate.com/contents/2546" TargetMode="External"/><Relationship Id="rId70" Type="http://schemas.openxmlformats.org/officeDocument/2006/relationships/hyperlink" Target="http://www.ncbi.nlm.nih.gov/pubmed/26925883,26554768,26303132,25370969,22759855,22695897,22417019,22416103,22310222,22200062,21944416,21624112,25214975,20711074,20686458,20362756,20083829,18752147,19565407,20485702,21440792,21614592,23225523,23922080,24518802,25314356,26142041,21820395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arnett.no/portal/procedure/7908" TargetMode="External"/><Relationship Id="rId23" Type="http://schemas.openxmlformats.org/officeDocument/2006/relationships/hyperlink" Target="https://www.varnett.no/portal/procedure/7523" TargetMode="External"/><Relationship Id="rId28" Type="http://schemas.openxmlformats.org/officeDocument/2006/relationships/hyperlink" Target="https://www.uptodate.com/contents/peptic-ulcer-disease-management?search=peptic-ulcer-disease-management%23!&amp;source=search_result&amp;selectedTitle=1~150&amp;usage_type=default&amp;display_rank=1" TargetMode="External"/><Relationship Id="rId36" Type="http://schemas.openxmlformats.org/officeDocument/2006/relationships/hyperlink" Target="http://www.ncbi.nlm.nih.gov/pubmed/?term=26925883" TargetMode="External"/><Relationship Id="rId49" Type="http://schemas.openxmlformats.org/officeDocument/2006/relationships/hyperlink" Target="http://www.helsebiblioteket.no/retningslinjer/mage-og-tarm" TargetMode="External"/><Relationship Id="rId57" Type="http://schemas.openxmlformats.org/officeDocument/2006/relationships/hyperlink" Target="http://www.kliniskeretningslinjer.dk/retningslinjer/godkendte-retningslinjer.aspx" TargetMode="External"/><Relationship Id="rId10" Type="http://schemas.openxmlformats.org/officeDocument/2006/relationships/hyperlink" Target="https://www.varnett.no/portal/procedure/7461" TargetMode="External"/><Relationship Id="rId31" Type="http://schemas.openxmlformats.org/officeDocument/2006/relationships/hyperlink" Target="http://www.uptodate.com/contents/2546" TargetMode="External"/><Relationship Id="rId44" Type="http://schemas.openxmlformats.org/officeDocument/2006/relationships/hyperlink" Target="http://www.helsebiblioteket.no/microsite/fagprosedyrer/fagprosedyrer" TargetMode="External"/><Relationship Id="rId52" Type="http://schemas.openxmlformats.org/officeDocument/2006/relationships/hyperlink" Target="http://www.guideline.gov/browse/by-topic.aspx" TargetMode="External"/><Relationship Id="rId60" Type="http://schemas.openxmlformats.org/officeDocument/2006/relationships/hyperlink" Target="http://www.uptodate.com/contents/2573" TargetMode="External"/><Relationship Id="rId65" Type="http://schemas.openxmlformats.org/officeDocument/2006/relationships/hyperlink" Target="http://bestpractice.bmj.com/best-practice/welcome.html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arnett.no/portal/procedure/7613" TargetMode="External"/><Relationship Id="rId13" Type="http://schemas.openxmlformats.org/officeDocument/2006/relationships/hyperlink" Target="https://www.varnett.no/portal/procedure/7832" TargetMode="External"/><Relationship Id="rId18" Type="http://schemas.openxmlformats.org/officeDocument/2006/relationships/hyperlink" Target="https://www.varnett.no/portal/procedure/7691" TargetMode="External"/><Relationship Id="rId39" Type="http://schemas.openxmlformats.org/officeDocument/2006/relationships/oleObject" Target="embeddings/oleObject1.bin"/><Relationship Id="rId34" Type="http://schemas.openxmlformats.org/officeDocument/2006/relationships/hyperlink" Target="https://www.nice.org.uk/guidance/qs38" TargetMode="External"/><Relationship Id="rId50" Type="http://schemas.openxmlformats.org/officeDocument/2006/relationships/hyperlink" Target="http://guidance.nice.org.uk/index.jsp?action=find" TargetMode="External"/><Relationship Id="rId55" Type="http://schemas.openxmlformats.org/officeDocument/2006/relationships/hyperlink" Target="http://www.socialstyrelsen.se/riktlinjer/nationellariktlinjer?ListingConfig=PublishedListing_DefaultConfig&amp;ConfigID=publishedListingPresenter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varnett.no/portal/procedure/7788" TargetMode="External"/><Relationship Id="rId71" Type="http://schemas.openxmlformats.org/officeDocument/2006/relationships/hyperlink" Target="http://www.ncbi.nlm.nih.gov/pubmed?otool=inouoli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3624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2021-04-29T09:26:00Z</dcterms:created>
  <dcterms:modified xsi:type="dcterms:W3CDTF">2021-04-29T09:26:00Z</dcterms:modified>
</cp:coreProperties>
</file>